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8A0B5" w14:textId="215BB0D6" w:rsidR="006E6ED4" w:rsidRPr="00552300" w:rsidRDefault="006E6ED4" w:rsidP="006E6ED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sidR="00430BAC">
        <w:rPr>
          <w:rFonts w:ascii="Arial" w:hAnsi="Arial"/>
          <w:b/>
          <w:bCs/>
          <w:lang w:val="en-US"/>
        </w:rPr>
        <w:t>#108</w:t>
      </w:r>
      <w:r w:rsidRPr="005C560E">
        <w:rPr>
          <w:rFonts w:ascii="Arial" w:hAnsi="Arial"/>
          <w:b/>
          <w:bCs/>
          <w:lang w:val="en-US"/>
        </w:rPr>
        <w:t xml:space="preserve"> Meeting </w:t>
      </w:r>
      <w:r w:rsidRPr="005C560E">
        <w:rPr>
          <w:lang w:val="en-US"/>
        </w:rPr>
        <w:tab/>
      </w:r>
      <w:r w:rsidR="004C1720" w:rsidRPr="004C1720">
        <w:rPr>
          <w:b/>
          <w:bCs/>
          <w:lang w:val="en-GB"/>
        </w:rPr>
        <w:t>RP-250879</w:t>
      </w:r>
    </w:p>
    <w:p w14:paraId="439A1C24" w14:textId="3A442586" w:rsidR="006E6ED4" w:rsidRPr="005C560E" w:rsidRDefault="00430BAC" w:rsidP="006E6ED4">
      <w:pPr>
        <w:rPr>
          <w:rFonts w:ascii="Arial" w:hAnsi="Arial"/>
          <w:b/>
          <w:bCs/>
          <w:lang w:val="en-US"/>
        </w:rPr>
      </w:pPr>
      <w:r>
        <w:rPr>
          <w:rFonts w:ascii="Arial" w:hAnsi="Arial"/>
          <w:b/>
          <w:bCs/>
          <w:lang w:val="en-US"/>
        </w:rPr>
        <w:t>Prague, Czech Republi</w:t>
      </w:r>
      <w:r w:rsidR="008B27E7">
        <w:rPr>
          <w:rFonts w:ascii="Arial" w:hAnsi="Arial"/>
          <w:b/>
          <w:bCs/>
          <w:lang w:val="en-US"/>
        </w:rPr>
        <w:t>c</w:t>
      </w:r>
      <w:bookmarkStart w:id="10" w:name="_GoBack"/>
      <w:bookmarkEnd w:id="10"/>
      <w:r w:rsidR="006E6ED4" w:rsidRPr="005C560E">
        <w:rPr>
          <w:rFonts w:ascii="Arial" w:hAnsi="Arial"/>
          <w:b/>
          <w:bCs/>
          <w:lang w:val="en-US"/>
        </w:rPr>
        <w:t xml:space="preserve">, </w:t>
      </w:r>
      <w:r>
        <w:rPr>
          <w:rFonts w:ascii="Arial" w:hAnsi="Arial"/>
          <w:b/>
          <w:bCs/>
          <w:lang w:val="en-US"/>
        </w:rPr>
        <w:t>June</w:t>
      </w:r>
      <w:r w:rsidR="006E6ED4">
        <w:rPr>
          <w:rFonts w:ascii="Arial" w:hAnsi="Arial"/>
          <w:b/>
          <w:bCs/>
          <w:lang w:val="en-US"/>
        </w:rPr>
        <w:t xml:space="preserve"> </w:t>
      </w:r>
      <w:r w:rsidR="008B27E7">
        <w:rPr>
          <w:rFonts w:ascii="Arial" w:hAnsi="Arial"/>
          <w:b/>
          <w:bCs/>
          <w:lang w:val="en-US"/>
        </w:rPr>
        <w:t>9</w:t>
      </w:r>
      <w:r w:rsidR="00816772">
        <w:rPr>
          <w:rFonts w:ascii="Arial" w:hAnsi="Arial"/>
          <w:b/>
          <w:bCs/>
          <w:lang w:val="en-US"/>
        </w:rPr>
        <w:t>-1</w:t>
      </w:r>
      <w:r w:rsidR="00727443">
        <w:rPr>
          <w:rFonts w:ascii="Arial" w:hAnsi="Arial"/>
          <w:b/>
          <w:bCs/>
          <w:lang w:val="en-US"/>
        </w:rPr>
        <w:t>3</w:t>
      </w:r>
      <w:r w:rsidR="00204808" w:rsidRPr="005C560E">
        <w:rPr>
          <w:rFonts w:ascii="Arial" w:hAnsi="Arial"/>
          <w:b/>
          <w:bCs/>
          <w:vertAlign w:val="superscript"/>
          <w:lang w:val="en-US"/>
        </w:rPr>
        <w:t>th</w:t>
      </w:r>
      <w:r w:rsidR="006E6ED4" w:rsidRPr="005C560E">
        <w:rPr>
          <w:rFonts w:ascii="Arial" w:hAnsi="Arial"/>
          <w:b/>
          <w:bCs/>
          <w:lang w:val="en-US"/>
        </w:rPr>
        <w:t>, 202</w:t>
      </w:r>
      <w:r w:rsidR="006E6ED4">
        <w:rPr>
          <w:rFonts w:ascii="Arial" w:hAnsi="Arial"/>
          <w:b/>
          <w:bCs/>
          <w:lang w:val="en-US"/>
        </w:rPr>
        <w:t>5</w:t>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540AB9EB"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430BAC" w:rsidRPr="00430BAC">
        <w:rPr>
          <w:b/>
          <w:lang w:val="en-US"/>
        </w:rPr>
        <w:t>6G study around 7 GHz</w:t>
      </w:r>
    </w:p>
    <w:p w14:paraId="34992277" w14:textId="2CF2997A" w:rsidR="006E6ED4" w:rsidRPr="004E5ADE" w:rsidRDefault="006E6ED4" w:rsidP="006E6ED4">
      <w:pPr>
        <w:tabs>
          <w:tab w:val="left" w:pos="1800"/>
        </w:tabs>
        <w:spacing w:after="60"/>
        <w:rPr>
          <w:b/>
          <w:bCs/>
          <w:lang w:val="en-US"/>
        </w:rPr>
      </w:pPr>
      <w:r w:rsidRPr="004E5ADE">
        <w:rPr>
          <w:b/>
          <w:bCs/>
          <w:lang w:val="en-US"/>
        </w:rPr>
        <w:t xml:space="preserve">Source: </w:t>
      </w:r>
      <w:r w:rsidRPr="004E5ADE">
        <w:rPr>
          <w:lang w:val="en-US"/>
        </w:rPr>
        <w:tab/>
      </w:r>
      <w:r w:rsidR="00FF573D" w:rsidRPr="004E5ADE">
        <w:rPr>
          <w:b/>
          <w:bCs/>
          <w:lang w:val="en-US"/>
        </w:rPr>
        <w:t>Thales</w:t>
      </w:r>
      <w:r w:rsidR="004B26DE" w:rsidRPr="004E5ADE">
        <w:rPr>
          <w:b/>
          <w:bCs/>
          <w:lang w:val="en-US"/>
        </w:rPr>
        <w:t>, Airbus</w:t>
      </w:r>
      <w:r w:rsidR="00B16947">
        <w:rPr>
          <w:b/>
          <w:bCs/>
          <w:lang w:val="en-US"/>
        </w:rPr>
        <w:t>, SES</w:t>
      </w:r>
      <w:r w:rsidR="005E01D9">
        <w:rPr>
          <w:b/>
          <w:bCs/>
          <w:lang w:val="en-US"/>
        </w:rPr>
        <w:t xml:space="preserve">, </w:t>
      </w:r>
      <w:proofErr w:type="spellStart"/>
      <w:r w:rsidR="005E01D9">
        <w:rPr>
          <w:b/>
          <w:bCs/>
          <w:lang w:val="en-US"/>
        </w:rPr>
        <w:t>Hispasat</w:t>
      </w:r>
      <w:proofErr w:type="spellEnd"/>
    </w:p>
    <w:p w14:paraId="71CBF656" w14:textId="77777777" w:rsidR="006E6ED4" w:rsidRPr="00AD4902" w:rsidRDefault="006E6ED4" w:rsidP="006E6ED4">
      <w:pPr>
        <w:tabs>
          <w:tab w:val="left" w:pos="1800"/>
        </w:tabs>
        <w:spacing w:after="60"/>
        <w:rPr>
          <w:b/>
          <w:bCs/>
          <w:lang w:val="en-US"/>
        </w:rPr>
      </w:pPr>
      <w:r w:rsidRPr="00AD4902">
        <w:rPr>
          <w:b/>
          <w:bCs/>
          <w:lang w:val="en-US"/>
        </w:rPr>
        <w:t>Type:</w:t>
      </w:r>
      <w:r w:rsidRPr="00AD4902">
        <w:rPr>
          <w:lang w:val="en-US"/>
        </w:rPr>
        <w:tab/>
      </w:r>
      <w:r w:rsidRPr="00AD4902">
        <w:rPr>
          <w:b/>
          <w:bCs/>
          <w:lang w:val="en-US"/>
        </w:rPr>
        <w:t>discussion</w:t>
      </w:r>
    </w:p>
    <w:p w14:paraId="38B6298B" w14:textId="77777777" w:rsidR="006E6ED4" w:rsidRPr="00AD4902" w:rsidRDefault="006E6ED4" w:rsidP="006E6ED4">
      <w:pPr>
        <w:tabs>
          <w:tab w:val="left" w:pos="1800"/>
        </w:tabs>
        <w:spacing w:after="60"/>
        <w:rPr>
          <w:b/>
          <w:bCs/>
          <w:lang w:val="en-US"/>
        </w:rPr>
      </w:pPr>
      <w:r w:rsidRPr="00AD4902">
        <w:rPr>
          <w:b/>
          <w:bCs/>
          <w:lang w:val="en-US"/>
        </w:rPr>
        <w:t>Document for:</w:t>
      </w:r>
      <w:r w:rsidRPr="00AD4902">
        <w:rPr>
          <w:lang w:val="en-US"/>
        </w:rPr>
        <w:tab/>
      </w:r>
      <w:r w:rsidRPr="00AD4902">
        <w:rPr>
          <w:b/>
          <w:bCs/>
          <w:lang w:val="en-US"/>
        </w:rPr>
        <w:t xml:space="preserve">discussion </w:t>
      </w:r>
    </w:p>
    <w:p w14:paraId="3F648D57" w14:textId="3A8B3F3E" w:rsidR="006E6ED4" w:rsidRPr="00AD4902" w:rsidRDefault="006E6ED4" w:rsidP="006E6ED4">
      <w:pPr>
        <w:tabs>
          <w:tab w:val="left" w:pos="1800"/>
        </w:tabs>
        <w:spacing w:after="60"/>
        <w:rPr>
          <w:b/>
          <w:bCs/>
          <w:lang w:val="en-US"/>
        </w:rPr>
      </w:pPr>
      <w:r w:rsidRPr="00F03EB7">
        <w:rPr>
          <w:b/>
          <w:bCs/>
          <w:lang w:val="en-GB"/>
        </w:rPr>
        <w:t>Agenda Item:</w:t>
      </w:r>
      <w:r w:rsidRPr="00F03EB7">
        <w:rPr>
          <w:lang w:val="en-GB"/>
        </w:rPr>
        <w:tab/>
      </w:r>
      <w:r w:rsidR="00DB2972" w:rsidRPr="00AD4902">
        <w:rPr>
          <w:b/>
          <w:bCs/>
          <w:lang w:val="en-US"/>
        </w:rPr>
        <w:t>16.1</w:t>
      </w:r>
      <w:r w:rsidR="00DB2972" w:rsidRPr="00AD4902">
        <w:rPr>
          <w:b/>
          <w:bCs/>
          <w:lang w:val="en-US"/>
        </w:rPr>
        <w:tab/>
        <w:t>Study on 6G Scenarios and Requirements [RAN led SI: FS_6G_RAN_Scen_Req]</w:t>
      </w:r>
    </w:p>
    <w:p w14:paraId="0F8F2643" w14:textId="77777777" w:rsidR="006E6ED4" w:rsidRPr="00F03EB7" w:rsidRDefault="006E6ED4" w:rsidP="006E6ED4">
      <w:pPr>
        <w:tabs>
          <w:tab w:val="left" w:pos="1800"/>
        </w:tabs>
        <w:spacing w:after="60"/>
        <w:rPr>
          <w:rFonts w:eastAsia="MS Mincho"/>
          <w:b/>
          <w:bCs/>
          <w:lang w:val="en-GB"/>
        </w:rPr>
      </w:pPr>
    </w:p>
    <w:p w14:paraId="01BBA226" w14:textId="77777777" w:rsidR="006E6ED4" w:rsidRDefault="006E6ED4" w:rsidP="006E6ED4">
      <w:pPr>
        <w:pStyle w:val="Titre1"/>
        <w:pageBreakBefore w:val="0"/>
        <w:ind w:left="431" w:hanging="431"/>
      </w:pPr>
      <w:bookmarkStart w:id="11" w:name="_Toc181198552"/>
      <w:bookmarkEnd w:id="0"/>
      <w:bookmarkEnd w:id="1"/>
      <w:bookmarkEnd w:id="2"/>
      <w:bookmarkEnd w:id="3"/>
      <w:bookmarkEnd w:id="4"/>
      <w:bookmarkEnd w:id="5"/>
      <w:bookmarkEnd w:id="6"/>
      <w:bookmarkEnd w:id="7"/>
      <w:bookmarkEnd w:id="8"/>
      <w:bookmarkEnd w:id="9"/>
      <w:r w:rsidRPr="714FC45E">
        <w:t>Introduction</w:t>
      </w:r>
      <w:bookmarkEnd w:id="11"/>
    </w:p>
    <w:p w14:paraId="4062E9E6" w14:textId="5AE848BD" w:rsidR="00972996" w:rsidRDefault="003E6A19" w:rsidP="00D721CA">
      <w:pPr>
        <w:jc w:val="both"/>
        <w:rPr>
          <w:lang w:val="en-US"/>
        </w:rPr>
      </w:pPr>
      <w:r>
        <w:rPr>
          <w:lang w:val="en-US"/>
        </w:rPr>
        <w:t xml:space="preserve">The RAN led study on </w:t>
      </w:r>
      <w:r w:rsidRPr="00972996">
        <w:rPr>
          <w:lang w:val="en-US"/>
        </w:rPr>
        <w:t>6G Scenarios and requirements</w:t>
      </w:r>
      <w:r w:rsidRPr="005C560E">
        <w:rPr>
          <w:lang w:val="en-US"/>
        </w:rPr>
        <w:t xml:space="preserve"> </w:t>
      </w:r>
      <w:r w:rsidR="00972996">
        <w:rPr>
          <w:lang w:val="en-US"/>
        </w:rPr>
        <w:t>has been approved at RAN#108</w:t>
      </w:r>
      <w:r w:rsidR="00EE6F07">
        <w:rPr>
          <w:lang w:val="en-US"/>
        </w:rPr>
        <w:t xml:space="preserve"> [1]</w:t>
      </w:r>
      <w:r w:rsidR="00972996">
        <w:rPr>
          <w:lang w:val="en-US"/>
        </w:rPr>
        <w:t>. Among its objectives, it includes</w:t>
      </w:r>
    </w:p>
    <w:p w14:paraId="3952171C" w14:textId="77777777" w:rsidR="00972996" w:rsidRPr="00972996" w:rsidRDefault="00972996" w:rsidP="00972996">
      <w:pPr>
        <w:numPr>
          <w:ilvl w:val="0"/>
          <w:numId w:val="4"/>
        </w:numPr>
        <w:overflowPunct w:val="0"/>
        <w:autoSpaceDE w:val="0"/>
        <w:autoSpaceDN w:val="0"/>
        <w:adjustRightInd w:val="0"/>
        <w:spacing w:after="180" w:line="240" w:lineRule="auto"/>
        <w:contextualSpacing/>
        <w:textAlignment w:val="baseline"/>
        <w:rPr>
          <w:rFonts w:eastAsia="DengXian"/>
          <w:i/>
          <w:lang w:val="en-US"/>
        </w:rPr>
      </w:pPr>
      <w:r w:rsidRPr="00972996">
        <w:rPr>
          <w:rFonts w:eastAsia="DengXian"/>
          <w:i/>
          <w:lang w:val="en-US"/>
        </w:rPr>
        <w:t xml:space="preserve">Develop 3GPP requirements for 6G Radio for these practical deployment scenarios to ensure substantial gains in all relevant bands: overall performance, user experience, TCO reduction including at least: </w:t>
      </w:r>
    </w:p>
    <w:p w14:paraId="34020B9E" w14:textId="493F63D3"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w:t>
      </w:r>
    </w:p>
    <w:p w14:paraId="1FA0D63C" w14:textId="7AF2144F"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 xml:space="preserve">Wider channel bandwidth (at least 200MHz) support for 6G deployments </w:t>
      </w:r>
      <w:r w:rsidRPr="00972996">
        <w:rPr>
          <w:rFonts w:eastAsia="DengXian" w:hint="eastAsia"/>
          <w:bCs/>
          <w:i/>
          <w:iCs/>
          <w:lang w:val="en-US" w:eastAsia="zh-CN"/>
        </w:rPr>
        <w:t>at least</w:t>
      </w:r>
      <w:r w:rsidRPr="00972996">
        <w:rPr>
          <w:rFonts w:eastAsia="DengXian"/>
          <w:bCs/>
          <w:i/>
          <w:iCs/>
          <w:lang w:val="en-US"/>
        </w:rPr>
        <w:t xml:space="preserve"> </w:t>
      </w:r>
      <w:r w:rsidRPr="00972996">
        <w:rPr>
          <w:rFonts w:eastAsia="DengXian" w:hint="eastAsia"/>
          <w:bCs/>
          <w:i/>
          <w:iCs/>
          <w:lang w:val="en-US" w:eastAsia="zh-CN"/>
        </w:rPr>
        <w:t xml:space="preserve">above 2 GHz, </w:t>
      </w:r>
      <w:r w:rsidRPr="00972996">
        <w:rPr>
          <w:rFonts w:eastAsia="DengXian"/>
          <w:bCs/>
          <w:i/>
          <w:iCs/>
          <w:lang w:val="en-US"/>
        </w:rPr>
        <w:t>around 7 GHz</w:t>
      </w:r>
    </w:p>
    <w:p w14:paraId="78476C33" w14:textId="3F763216"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Re-use of existing 5G mid-band (~3.5GHz) site grid for 6G deployments in at least around 7 GHz and targeting comparable coverage to 5G mid-band</w:t>
      </w:r>
    </w:p>
    <w:p w14:paraId="346C4677" w14:textId="37A5F85A"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w:t>
      </w:r>
    </w:p>
    <w:p w14:paraId="2DF163E9" w14:textId="5A67D7F6" w:rsidR="00972996" w:rsidRDefault="00972996" w:rsidP="00D721CA">
      <w:pPr>
        <w:jc w:val="both"/>
        <w:rPr>
          <w:lang w:val="en-US"/>
        </w:rPr>
      </w:pPr>
    </w:p>
    <w:p w14:paraId="16483C10" w14:textId="21BAD5DF" w:rsidR="003409B9" w:rsidRPr="00865B6A" w:rsidRDefault="006E6ED4" w:rsidP="00D721CA">
      <w:pPr>
        <w:jc w:val="both"/>
        <w:rPr>
          <w:lang w:val="en-US"/>
        </w:rPr>
      </w:pPr>
      <w:r w:rsidRPr="005C560E">
        <w:rPr>
          <w:lang w:val="en-US"/>
        </w:rPr>
        <w:t xml:space="preserve">This document </w:t>
      </w:r>
      <w:r w:rsidR="003409B9">
        <w:rPr>
          <w:lang w:val="en-US"/>
        </w:rPr>
        <w:t xml:space="preserve">proposes </w:t>
      </w:r>
      <w:r w:rsidR="00BD3653">
        <w:rPr>
          <w:lang w:val="en-US"/>
        </w:rPr>
        <w:t xml:space="preserve">some requirements on the </w:t>
      </w:r>
      <w:r w:rsidR="00430BAC">
        <w:rPr>
          <w:lang w:val="en-US"/>
        </w:rPr>
        <w:t xml:space="preserve">study </w:t>
      </w:r>
      <w:r w:rsidR="00BD3653">
        <w:rPr>
          <w:lang w:val="en-US"/>
        </w:rPr>
        <w:t>of the Radio access technology f</w:t>
      </w:r>
      <w:r w:rsidR="00430BAC" w:rsidRPr="00430BAC">
        <w:rPr>
          <w:rFonts w:eastAsia="DengXian"/>
          <w:bCs/>
          <w:iCs/>
          <w:lang w:val="en-US"/>
        </w:rPr>
        <w:t>or 6G deployments around 7 GHz</w:t>
      </w:r>
      <w:r w:rsidR="00865B6A" w:rsidRPr="00865B6A">
        <w:rPr>
          <w:lang w:val="en-US"/>
        </w:rPr>
        <w:t>.</w:t>
      </w:r>
    </w:p>
    <w:p w14:paraId="738CB016" w14:textId="77777777" w:rsidR="006A02A0" w:rsidRPr="00972996" w:rsidRDefault="006A02A0" w:rsidP="006A02A0">
      <w:pPr>
        <w:pStyle w:val="Titre1"/>
        <w:pageBreakBefore w:val="0"/>
        <w:ind w:left="431" w:hanging="431"/>
        <w:rPr>
          <w:lang w:val="en-US"/>
        </w:rPr>
      </w:pPr>
      <w:r w:rsidRPr="00972996">
        <w:rPr>
          <w:lang w:val="en-US"/>
        </w:rPr>
        <w:t>Discussion</w:t>
      </w:r>
    </w:p>
    <w:p w14:paraId="430170A4" w14:textId="14C0A489" w:rsidR="00314860" w:rsidRDefault="001D236C" w:rsidP="00EE6F07">
      <w:pPr>
        <w:jc w:val="both"/>
        <w:rPr>
          <w:lang w:val="en-GB"/>
        </w:rPr>
      </w:pPr>
      <w:r>
        <w:rPr>
          <w:lang w:val="en-GB"/>
        </w:rPr>
        <w:t xml:space="preserve">A </w:t>
      </w:r>
      <w:r w:rsidR="00B86EB0">
        <w:rPr>
          <w:lang w:val="en-GB"/>
        </w:rPr>
        <w:t>significant</w:t>
      </w:r>
      <w:r>
        <w:rPr>
          <w:lang w:val="en-GB"/>
        </w:rPr>
        <w:t xml:space="preserve"> amount of </w:t>
      </w:r>
      <w:r w:rsidR="00295EB9">
        <w:rPr>
          <w:lang w:val="en-GB"/>
        </w:rPr>
        <w:t xml:space="preserve">additional </w:t>
      </w:r>
      <w:r>
        <w:rPr>
          <w:lang w:val="en-GB"/>
        </w:rPr>
        <w:t xml:space="preserve">spectrum </w:t>
      </w:r>
      <w:r w:rsidR="00295EB9">
        <w:rPr>
          <w:lang w:val="en-GB"/>
        </w:rPr>
        <w:t xml:space="preserve">has </w:t>
      </w:r>
      <w:r>
        <w:rPr>
          <w:lang w:val="en-GB"/>
        </w:rPr>
        <w:t xml:space="preserve">already </w:t>
      </w:r>
      <w:r w:rsidR="00295EB9">
        <w:rPr>
          <w:lang w:val="en-GB"/>
        </w:rPr>
        <w:t>been identified</w:t>
      </w:r>
      <w:r>
        <w:rPr>
          <w:lang w:val="en-GB"/>
        </w:rPr>
        <w:t xml:space="preserve"> </w:t>
      </w:r>
      <w:r w:rsidR="00295EB9">
        <w:rPr>
          <w:lang w:val="en-GB"/>
        </w:rPr>
        <w:t>for</w:t>
      </w:r>
      <w:r>
        <w:rPr>
          <w:lang w:val="en-GB"/>
        </w:rPr>
        <w:t xml:space="preserve"> mobile services </w:t>
      </w:r>
      <w:r w:rsidR="00295EB9">
        <w:rPr>
          <w:lang w:val="en-GB"/>
        </w:rPr>
        <w:t>(</w:t>
      </w:r>
      <w:r w:rsidR="00B86EB0">
        <w:rPr>
          <w:lang w:val="en-GB"/>
        </w:rPr>
        <w:t xml:space="preserve">in particular </w:t>
      </w:r>
      <w:r w:rsidR="00295EB9">
        <w:rPr>
          <w:lang w:val="en-GB"/>
        </w:rPr>
        <w:t xml:space="preserve">IMT) </w:t>
      </w:r>
      <w:r>
        <w:rPr>
          <w:lang w:val="en-GB"/>
        </w:rPr>
        <w:t xml:space="preserve">below 3.8 GHz and in the 6 425 – 7 125 MHz range by ITU at WRC-23. </w:t>
      </w:r>
    </w:p>
    <w:p w14:paraId="77965B1C" w14:textId="4A93569F" w:rsidR="001D236C" w:rsidRDefault="001D236C" w:rsidP="00EE6F07">
      <w:pPr>
        <w:jc w:val="both"/>
        <w:rPr>
          <w:lang w:val="en-GB"/>
        </w:rPr>
      </w:pPr>
      <w:r>
        <w:rPr>
          <w:lang w:val="en-GB"/>
        </w:rPr>
        <w:t>Among the bands being considered under WRC-27 Agenda Item 1.7 for possible IMT identification</w:t>
      </w:r>
      <w:r w:rsidR="00295EB9">
        <w:rPr>
          <w:lang w:val="en-GB"/>
        </w:rPr>
        <w:t>,</w:t>
      </w:r>
      <w:r>
        <w:rPr>
          <w:lang w:val="en-GB"/>
        </w:rPr>
        <w:t xml:space="preserve"> the band 7125-8400 MHz </w:t>
      </w:r>
      <w:r w:rsidR="00295EB9">
        <w:rPr>
          <w:lang w:val="en-GB"/>
        </w:rPr>
        <w:t>was</w:t>
      </w:r>
      <w:r>
        <w:rPr>
          <w:lang w:val="en-GB"/>
        </w:rPr>
        <w:t xml:space="preserve"> opposed by many countries and regional groups, including CEPT, due to strategic usages. These strategic usages are, and will remain, critical in all of th</w:t>
      </w:r>
      <w:r w:rsidR="00295EB9">
        <w:rPr>
          <w:lang w:val="en-GB"/>
        </w:rPr>
        <w:t>is</w:t>
      </w:r>
      <w:r>
        <w:rPr>
          <w:lang w:val="en-GB"/>
        </w:rPr>
        <w:t xml:space="preserve"> </w:t>
      </w:r>
      <w:r w:rsidR="00295EB9">
        <w:rPr>
          <w:lang w:val="en-GB"/>
        </w:rPr>
        <w:t xml:space="preserve">frequency </w:t>
      </w:r>
      <w:r w:rsidR="00B86EB0">
        <w:rPr>
          <w:lang w:val="en-GB"/>
        </w:rPr>
        <w:t>band</w:t>
      </w:r>
      <w:r>
        <w:rPr>
          <w:lang w:val="en-GB"/>
        </w:rPr>
        <w:t>.</w:t>
      </w:r>
    </w:p>
    <w:p w14:paraId="3C6A0570" w14:textId="79695A3C" w:rsidR="001D236C" w:rsidRDefault="001D236C" w:rsidP="00EE6F07">
      <w:pPr>
        <w:jc w:val="both"/>
        <w:rPr>
          <w:lang w:val="en-GB"/>
        </w:rPr>
      </w:pPr>
      <w:r w:rsidRPr="004368D6">
        <w:rPr>
          <w:lang w:val="en-GB"/>
        </w:rPr>
        <w:t xml:space="preserve">This frequency </w:t>
      </w:r>
      <w:r w:rsidR="00295EB9">
        <w:rPr>
          <w:lang w:val="en-GB"/>
        </w:rPr>
        <w:t>range</w:t>
      </w:r>
      <w:r w:rsidRPr="004368D6">
        <w:rPr>
          <w:lang w:val="en-GB"/>
        </w:rPr>
        <w:t xml:space="preserve"> is intensively used by a large number of </w:t>
      </w:r>
      <w:r w:rsidR="00295EB9">
        <w:rPr>
          <w:lang w:val="en-GB"/>
        </w:rPr>
        <w:t>government</w:t>
      </w:r>
      <w:r w:rsidRPr="004368D6">
        <w:rPr>
          <w:lang w:val="en-GB"/>
        </w:rPr>
        <w:t xml:space="preserve"> satellite</w:t>
      </w:r>
      <w:r>
        <w:rPr>
          <w:lang w:val="en-GB"/>
        </w:rPr>
        <w:t xml:space="preserve"> </w:t>
      </w:r>
      <w:r w:rsidRPr="004368D6">
        <w:rPr>
          <w:lang w:val="en-GB"/>
        </w:rPr>
        <w:t xml:space="preserve">systems </w:t>
      </w:r>
      <w:r w:rsidR="00295EB9">
        <w:rPr>
          <w:lang w:val="en-GB"/>
        </w:rPr>
        <w:t>for</w:t>
      </w:r>
      <w:r w:rsidRPr="00357836">
        <w:rPr>
          <w:lang w:val="en-GB"/>
        </w:rPr>
        <w:t xml:space="preserve"> down-links (</w:t>
      </w:r>
      <w:r w:rsidR="00295EB9">
        <w:rPr>
          <w:lang w:val="en-GB"/>
        </w:rPr>
        <w:t xml:space="preserve">i.e. </w:t>
      </w:r>
      <w:r w:rsidRPr="00357836">
        <w:rPr>
          <w:lang w:val="en-GB"/>
        </w:rPr>
        <w:t>7 25</w:t>
      </w:r>
      <w:r w:rsidR="00FF391F">
        <w:rPr>
          <w:lang w:val="en-GB"/>
        </w:rPr>
        <w:t>0</w:t>
      </w:r>
      <w:r w:rsidRPr="00357836">
        <w:rPr>
          <w:lang w:val="en-GB"/>
        </w:rPr>
        <w:t xml:space="preserve"> – 7 750 MHz) and up-links (</w:t>
      </w:r>
      <w:r w:rsidR="00295EB9">
        <w:rPr>
          <w:lang w:val="en-GB"/>
        </w:rPr>
        <w:t xml:space="preserve">i.e. </w:t>
      </w:r>
      <w:r w:rsidRPr="00357836">
        <w:rPr>
          <w:lang w:val="en-GB"/>
        </w:rPr>
        <w:t>7 900 – 8400 MHz). The upper part of the band (</w:t>
      </w:r>
      <w:r w:rsidR="00295EB9">
        <w:rPr>
          <w:lang w:val="en-GB"/>
        </w:rPr>
        <w:t xml:space="preserve">i.e. </w:t>
      </w:r>
      <w:r w:rsidRPr="00357836">
        <w:rPr>
          <w:lang w:val="en-GB"/>
        </w:rPr>
        <w:t>8</w:t>
      </w:r>
      <w:r>
        <w:rPr>
          <w:lang w:val="en-GB"/>
        </w:rPr>
        <w:t xml:space="preserve"> </w:t>
      </w:r>
      <w:r w:rsidRPr="00357836">
        <w:rPr>
          <w:lang w:val="en-GB"/>
        </w:rPr>
        <w:t>025-8</w:t>
      </w:r>
      <w:r>
        <w:rPr>
          <w:lang w:val="en-GB"/>
        </w:rPr>
        <w:t xml:space="preserve"> </w:t>
      </w:r>
      <w:r w:rsidRPr="00357836">
        <w:rPr>
          <w:lang w:val="en-GB"/>
        </w:rPr>
        <w:t>400</w:t>
      </w:r>
      <w:r>
        <w:rPr>
          <w:lang w:val="en-GB"/>
        </w:rPr>
        <w:t xml:space="preserve"> MHz) is also used for the down</w:t>
      </w:r>
      <w:r w:rsidRPr="00357836">
        <w:rPr>
          <w:lang w:val="en-GB"/>
        </w:rPr>
        <w:t xml:space="preserve">link of Earth observation data by a large majority </w:t>
      </w:r>
      <w:r w:rsidR="00C230BE">
        <w:rPr>
          <w:lang w:val="en-GB"/>
        </w:rPr>
        <w:t xml:space="preserve">of </w:t>
      </w:r>
      <w:r>
        <w:rPr>
          <w:lang w:val="en-GB"/>
        </w:rPr>
        <w:t>Earth Observation satellites.</w:t>
      </w:r>
    </w:p>
    <w:p w14:paraId="6C890B10" w14:textId="20A305F0" w:rsidR="00FB5BC3" w:rsidRPr="00280E6F" w:rsidRDefault="00FB5BC3" w:rsidP="00EE6F07">
      <w:pPr>
        <w:jc w:val="both"/>
        <w:rPr>
          <w:b/>
          <w:i/>
          <w:lang w:val="en-US"/>
        </w:rPr>
      </w:pPr>
      <w:r w:rsidRPr="00765304">
        <w:rPr>
          <w:b/>
          <w:i/>
          <w:lang w:val="en-US"/>
        </w:rPr>
        <w:lastRenderedPageBreak/>
        <w:t>Observation 1:</w:t>
      </w:r>
      <w:r>
        <w:rPr>
          <w:b/>
          <w:i/>
          <w:lang w:val="en-US"/>
        </w:rPr>
        <w:t xml:space="preserve"> Proposals in ITU-R to introduce an IMT identification in the frequency range 7250-7750 MHz and 7900-8400 MHz have been opposed by many administrations and regional groups. </w:t>
      </w:r>
    </w:p>
    <w:p w14:paraId="5F937FEC" w14:textId="5A14AFB7" w:rsidR="002D36A8" w:rsidRDefault="002D36A8" w:rsidP="00EE6F07">
      <w:pPr>
        <w:jc w:val="both"/>
        <w:rPr>
          <w:bCs/>
          <w:lang w:val="en-GB"/>
        </w:rPr>
      </w:pPr>
      <w:r>
        <w:rPr>
          <w:lang w:val="en-GB"/>
        </w:rPr>
        <w:t>T</w:t>
      </w:r>
      <w:r w:rsidRPr="006C6033">
        <w:rPr>
          <w:lang w:val="en-GB"/>
        </w:rPr>
        <w:t xml:space="preserve">here are </w:t>
      </w:r>
      <w:r>
        <w:rPr>
          <w:lang w:val="en-GB"/>
        </w:rPr>
        <w:t xml:space="preserve">often </w:t>
      </w:r>
      <w:r w:rsidRPr="006C6033">
        <w:rPr>
          <w:lang w:val="en-GB"/>
        </w:rPr>
        <w:t>no alternative</w:t>
      </w:r>
      <w:r>
        <w:rPr>
          <w:lang w:val="en-GB"/>
        </w:rPr>
        <w:t xml:space="preserve"> band</w:t>
      </w:r>
      <w:r w:rsidRPr="006C6033">
        <w:rPr>
          <w:lang w:val="en-GB"/>
        </w:rPr>
        <w:t xml:space="preserve">s to </w:t>
      </w:r>
      <w:r>
        <w:rPr>
          <w:lang w:val="en-GB"/>
        </w:rPr>
        <w:t xml:space="preserve">support the above communication and earth observation satellite systems which would be drastically impacted by the reduction of </w:t>
      </w:r>
      <w:r w:rsidRPr="00357836">
        <w:rPr>
          <w:bCs/>
          <w:lang w:val="en-GB"/>
        </w:rPr>
        <w:t>available frequenc</w:t>
      </w:r>
      <w:r>
        <w:rPr>
          <w:bCs/>
          <w:lang w:val="en-GB"/>
        </w:rPr>
        <w:t>y bands.</w:t>
      </w:r>
    </w:p>
    <w:p w14:paraId="2D7FAABD" w14:textId="78F7F0F3" w:rsidR="0083285A" w:rsidRDefault="0083285A" w:rsidP="00EE6F07">
      <w:pPr>
        <w:jc w:val="both"/>
        <w:rPr>
          <w:bCs/>
          <w:lang w:val="en-GB"/>
        </w:rPr>
      </w:pPr>
      <w:r>
        <w:rPr>
          <w:bCs/>
          <w:lang w:val="en-GB"/>
        </w:rPr>
        <w:t xml:space="preserve">As part of the activities carried out under WRC-27 Agenda Item 1.7, submitted studies </w:t>
      </w:r>
      <w:r w:rsidR="00FF391F">
        <w:rPr>
          <w:bCs/>
          <w:lang w:val="en-GB"/>
        </w:rPr>
        <w:t>[</w:t>
      </w:r>
      <w:r w:rsidR="00EE6F07">
        <w:rPr>
          <w:bCs/>
          <w:lang w:val="en-GB"/>
        </w:rPr>
        <w:t>2</w:t>
      </w:r>
      <w:r w:rsidR="00FF391F">
        <w:rPr>
          <w:bCs/>
          <w:lang w:val="en-GB"/>
        </w:rPr>
        <w:t>]</w:t>
      </w:r>
      <w:r>
        <w:rPr>
          <w:bCs/>
          <w:lang w:val="en-GB"/>
        </w:rPr>
        <w:t xml:space="preserve"> show that frequency sharing between these strategic systems, and any prospective roll out of mobile networks would be not viable in practice.</w:t>
      </w:r>
    </w:p>
    <w:p w14:paraId="7D3DA77F" w14:textId="77777777" w:rsidR="002D36A8" w:rsidRPr="00765304" w:rsidRDefault="002D36A8" w:rsidP="00EE6F07">
      <w:pPr>
        <w:jc w:val="both"/>
        <w:rPr>
          <w:b/>
          <w:i/>
          <w:lang w:val="en-US"/>
        </w:rPr>
      </w:pPr>
      <w:r w:rsidRPr="00765304">
        <w:rPr>
          <w:b/>
          <w:i/>
          <w:lang w:val="en-US"/>
        </w:rPr>
        <w:t xml:space="preserve">Observation </w:t>
      </w:r>
      <w:r>
        <w:rPr>
          <w:b/>
          <w:i/>
          <w:lang w:val="en-US"/>
        </w:rPr>
        <w:t>2</w:t>
      </w:r>
      <w:r w:rsidRPr="00765304">
        <w:rPr>
          <w:b/>
          <w:i/>
          <w:lang w:val="en-US"/>
        </w:rPr>
        <w:t>:</w:t>
      </w:r>
      <w:r>
        <w:rPr>
          <w:b/>
          <w:i/>
          <w:lang w:val="en-US"/>
        </w:rPr>
        <w:t xml:space="preserve"> Submitted studies conclude that frequency sharing between these strategic space assets and IMT systems will not be possible, while there will be continued need to operate existing strategic space systems in the frequency range 7250-7750 MHz and 7900-8400 </w:t>
      </w:r>
      <w:proofErr w:type="spellStart"/>
      <w:r>
        <w:rPr>
          <w:b/>
          <w:i/>
          <w:lang w:val="en-US"/>
        </w:rPr>
        <w:t>MHz.</w:t>
      </w:r>
      <w:proofErr w:type="spellEnd"/>
    </w:p>
    <w:p w14:paraId="44F9A423" w14:textId="63E0FFA6" w:rsidR="00E50251" w:rsidRDefault="00E50251" w:rsidP="00EE6F07">
      <w:pPr>
        <w:jc w:val="both"/>
        <w:rPr>
          <w:lang w:val="en-US"/>
        </w:rPr>
      </w:pPr>
      <w:r>
        <w:rPr>
          <w:lang w:val="en-US"/>
        </w:rPr>
        <w:t>3GPP has provided the following contribution to ITU for Agenda Item 1.7 for WRC27 [</w:t>
      </w:r>
      <w:r w:rsidR="00AD61C8">
        <w:rPr>
          <w:lang w:val="en-US"/>
        </w:rPr>
        <w:t>3</w:t>
      </w:r>
      <w:r>
        <w:rPr>
          <w:lang w:val="en-US"/>
        </w:rPr>
        <w:t>]</w:t>
      </w:r>
    </w:p>
    <w:p w14:paraId="4D6AA6DD" w14:textId="77777777" w:rsidR="00E50251" w:rsidRPr="00C230BE" w:rsidRDefault="00E50251" w:rsidP="00E50251">
      <w:pPr>
        <w:jc w:val="both"/>
        <w:rPr>
          <w:b/>
          <w:bCs/>
          <w:lang w:val="en-US"/>
        </w:rPr>
      </w:pPr>
      <w:r w:rsidRPr="00C230BE">
        <w:rPr>
          <w:b/>
          <w:bCs/>
          <w:lang w:val="en-US"/>
        </w:rPr>
        <w:t>Observation 3: 3GPP RAN has already provided preliminary parameters to ITU for the Agenda Item 1.7 WRC 27 study.</w:t>
      </w:r>
    </w:p>
    <w:p w14:paraId="74F29761" w14:textId="77777777" w:rsidR="00E50251" w:rsidRDefault="00E50251" w:rsidP="00EE6F07">
      <w:pPr>
        <w:jc w:val="both"/>
        <w:rPr>
          <w:lang w:val="en-US"/>
        </w:rPr>
      </w:pPr>
    </w:p>
    <w:p w14:paraId="1531FB3A" w14:textId="15A35FB3" w:rsidR="002D36A8" w:rsidRPr="00280E6F" w:rsidRDefault="002D36A8" w:rsidP="00EE6F07">
      <w:pPr>
        <w:jc w:val="both"/>
        <w:rPr>
          <w:lang w:val="en-US"/>
        </w:rPr>
      </w:pPr>
      <w:r>
        <w:rPr>
          <w:lang w:val="en-US"/>
        </w:rPr>
        <w:t xml:space="preserve">Therefore, we suggest that </w:t>
      </w:r>
      <w:r w:rsidRPr="00280E6F">
        <w:rPr>
          <w:lang w:val="en-US"/>
        </w:rPr>
        <w:t>the frequency range [7250 - 7750 MHz] and [7900 - 8400 MHz] be excluded from the 6G study and normative work scope</w:t>
      </w:r>
      <w:r w:rsidR="00E50251">
        <w:rPr>
          <w:lang w:val="en-US"/>
        </w:rPr>
        <w:t>, at least until WRC27 final decision</w:t>
      </w:r>
      <w:r w:rsidRPr="00280E6F">
        <w:rPr>
          <w:lang w:val="en-US"/>
        </w:rPr>
        <w:t>.</w:t>
      </w:r>
    </w:p>
    <w:p w14:paraId="29540A7E" w14:textId="3EAEDF1E" w:rsidR="002D36A8" w:rsidRDefault="002D36A8" w:rsidP="00EE6F07">
      <w:pPr>
        <w:jc w:val="both"/>
        <w:rPr>
          <w:b/>
          <w:lang w:val="en-US"/>
        </w:rPr>
      </w:pPr>
      <w:r w:rsidRPr="00314860">
        <w:rPr>
          <w:b/>
          <w:lang w:val="en-US"/>
        </w:rPr>
        <w:t xml:space="preserve">Proposal </w:t>
      </w:r>
      <w:r>
        <w:rPr>
          <w:b/>
          <w:lang w:val="en-US"/>
        </w:rPr>
        <w:t>1</w:t>
      </w:r>
      <w:r w:rsidRPr="00314860">
        <w:rPr>
          <w:b/>
          <w:lang w:val="en-US"/>
        </w:rPr>
        <w:t xml:space="preserve">: </w:t>
      </w:r>
      <w:r>
        <w:rPr>
          <w:b/>
          <w:lang w:val="en-US"/>
        </w:rPr>
        <w:t xml:space="preserve">RAN shall </w:t>
      </w:r>
      <w:r w:rsidR="00AE0EFE">
        <w:rPr>
          <w:b/>
          <w:lang w:val="en-US"/>
        </w:rPr>
        <w:t xml:space="preserve">postpone </w:t>
      </w:r>
      <w:r w:rsidR="00E50251">
        <w:rPr>
          <w:b/>
          <w:lang w:val="en-US"/>
        </w:rPr>
        <w:t>any 6G study and normative work</w:t>
      </w:r>
      <w:r w:rsidR="00BD7561" w:rsidRPr="00BD7561">
        <w:rPr>
          <w:b/>
          <w:lang w:val="en-US"/>
        </w:rPr>
        <w:t>, with regard to IMT identification,</w:t>
      </w:r>
      <w:r w:rsidR="00E50251">
        <w:rPr>
          <w:b/>
          <w:lang w:val="en-US"/>
        </w:rPr>
        <w:t xml:space="preserve"> on </w:t>
      </w:r>
      <w:r>
        <w:rPr>
          <w:b/>
          <w:lang w:val="en-US"/>
        </w:rPr>
        <w:t xml:space="preserve">the </w:t>
      </w:r>
      <w:r w:rsidRPr="00280E6F">
        <w:rPr>
          <w:b/>
          <w:lang w:val="en-US"/>
        </w:rPr>
        <w:t>frequency range [7250 - 7750</w:t>
      </w:r>
      <w:r w:rsidRPr="00C438ED">
        <w:rPr>
          <w:b/>
          <w:lang w:val="en-US"/>
        </w:rPr>
        <w:t xml:space="preserve"> MHz</w:t>
      </w:r>
      <w:r>
        <w:rPr>
          <w:b/>
          <w:lang w:val="en-US"/>
        </w:rPr>
        <w:t>]</w:t>
      </w:r>
      <w:r w:rsidRPr="00C438ED">
        <w:rPr>
          <w:b/>
          <w:lang w:val="en-US"/>
        </w:rPr>
        <w:t xml:space="preserve"> </w:t>
      </w:r>
      <w:r>
        <w:rPr>
          <w:b/>
          <w:lang w:val="en-US"/>
        </w:rPr>
        <w:t>and</w:t>
      </w:r>
      <w:r w:rsidRPr="00C438ED">
        <w:rPr>
          <w:b/>
          <w:lang w:val="en-US"/>
        </w:rPr>
        <w:t xml:space="preserve"> </w:t>
      </w:r>
      <w:r>
        <w:rPr>
          <w:b/>
          <w:lang w:val="en-US"/>
        </w:rPr>
        <w:t>[</w:t>
      </w:r>
      <w:r w:rsidRPr="00C438ED">
        <w:rPr>
          <w:b/>
          <w:lang w:val="en-US"/>
        </w:rPr>
        <w:t>7900</w:t>
      </w:r>
      <w:r>
        <w:rPr>
          <w:b/>
          <w:lang w:val="en-US"/>
        </w:rPr>
        <w:t xml:space="preserve"> </w:t>
      </w:r>
      <w:r w:rsidRPr="00C438ED">
        <w:rPr>
          <w:b/>
          <w:lang w:val="en-US"/>
        </w:rPr>
        <w:t>-</w:t>
      </w:r>
      <w:r>
        <w:rPr>
          <w:b/>
          <w:lang w:val="en-US"/>
        </w:rPr>
        <w:t xml:space="preserve"> </w:t>
      </w:r>
      <w:r w:rsidRPr="00C438ED">
        <w:rPr>
          <w:b/>
          <w:lang w:val="en-US"/>
        </w:rPr>
        <w:t>8400 MHz</w:t>
      </w:r>
      <w:r w:rsidR="00FF391F">
        <w:rPr>
          <w:b/>
          <w:lang w:val="en-US"/>
        </w:rPr>
        <w:t>]</w:t>
      </w:r>
      <w:r w:rsidR="00AE0EFE">
        <w:rPr>
          <w:b/>
          <w:lang w:val="en-US"/>
        </w:rPr>
        <w:t>, at least until WRC27 final decision.</w:t>
      </w:r>
    </w:p>
    <w:p w14:paraId="5A739DAC" w14:textId="77777777" w:rsidR="00BD7561" w:rsidRDefault="00BD7561" w:rsidP="00EE6F07">
      <w:pPr>
        <w:jc w:val="both"/>
        <w:rPr>
          <w:b/>
          <w:lang w:val="en-US"/>
        </w:rPr>
      </w:pPr>
    </w:p>
    <w:p w14:paraId="3463E6F4" w14:textId="4A8AE1AD" w:rsidR="00E50251" w:rsidRPr="00C230BE" w:rsidRDefault="00E50251" w:rsidP="00E50251">
      <w:pPr>
        <w:jc w:val="both"/>
        <w:rPr>
          <w:b/>
          <w:bCs/>
          <w:lang w:val="en-US"/>
        </w:rPr>
      </w:pPr>
      <w:r w:rsidRPr="00C230BE">
        <w:rPr>
          <w:b/>
          <w:bCs/>
          <w:lang w:val="en-US"/>
        </w:rPr>
        <w:t>Proposal 2: Subject to WRC27 decision, RAN shall ensure consistency between the parameters provided by 3GPP to ITU and future work carried out in 3GPP in the frequency range [7250-7750 MHz] and [7900-8400 MHz].</w:t>
      </w:r>
    </w:p>
    <w:p w14:paraId="47A5F5DE" w14:textId="77777777" w:rsidR="002D36A8" w:rsidRDefault="002D36A8" w:rsidP="00EE6F07">
      <w:pPr>
        <w:jc w:val="both"/>
        <w:rPr>
          <w:lang w:val="en-US"/>
        </w:rPr>
      </w:pPr>
    </w:p>
    <w:p w14:paraId="77508E99" w14:textId="77777777" w:rsidR="00877EA5" w:rsidRDefault="00877EA5" w:rsidP="00877EA5">
      <w:pPr>
        <w:pStyle w:val="Titre1"/>
        <w:pageBreakBefore w:val="0"/>
        <w:ind w:left="431" w:hanging="431"/>
      </w:pPr>
      <w:r>
        <w:t>Conclus</w:t>
      </w:r>
      <w:r w:rsidRPr="714FC45E">
        <w:t>ion</w:t>
      </w:r>
    </w:p>
    <w:p w14:paraId="6E65C098" w14:textId="64BB2147" w:rsidR="00BD3653" w:rsidRPr="00765304" w:rsidRDefault="00BD3653" w:rsidP="00EE6F07">
      <w:pPr>
        <w:jc w:val="both"/>
        <w:rPr>
          <w:b/>
          <w:i/>
          <w:lang w:val="en-US"/>
        </w:rPr>
      </w:pPr>
      <w:r w:rsidRPr="00765304">
        <w:rPr>
          <w:b/>
          <w:i/>
          <w:lang w:val="en-US"/>
        </w:rPr>
        <w:t>Observation 1:</w:t>
      </w:r>
      <w:r w:rsidR="009B1CCE">
        <w:rPr>
          <w:b/>
          <w:i/>
          <w:lang w:val="en-US"/>
        </w:rPr>
        <w:t xml:space="preserve"> </w:t>
      </w:r>
      <w:r w:rsidR="0083285A">
        <w:rPr>
          <w:b/>
          <w:i/>
          <w:lang w:val="en-US"/>
        </w:rPr>
        <w:t xml:space="preserve">Proposals in ITU-R to introduce an IMT identification in the bands </w:t>
      </w:r>
      <w:r w:rsidR="00FF391F">
        <w:rPr>
          <w:b/>
          <w:i/>
          <w:lang w:val="en-US"/>
        </w:rPr>
        <w:t>[</w:t>
      </w:r>
      <w:r w:rsidR="0083285A">
        <w:rPr>
          <w:b/>
          <w:i/>
          <w:lang w:val="en-US"/>
        </w:rPr>
        <w:t>7250-7750 MHz</w:t>
      </w:r>
      <w:r w:rsidR="00FF391F">
        <w:rPr>
          <w:b/>
          <w:i/>
          <w:lang w:val="en-US"/>
        </w:rPr>
        <w:t>]</w:t>
      </w:r>
      <w:r w:rsidR="0083285A">
        <w:rPr>
          <w:b/>
          <w:i/>
          <w:lang w:val="en-US"/>
        </w:rPr>
        <w:t xml:space="preserve"> and </w:t>
      </w:r>
      <w:r w:rsidR="00FF391F">
        <w:rPr>
          <w:b/>
          <w:i/>
          <w:lang w:val="en-US"/>
        </w:rPr>
        <w:t>[</w:t>
      </w:r>
      <w:r w:rsidR="0083285A">
        <w:rPr>
          <w:b/>
          <w:i/>
          <w:lang w:val="en-US"/>
        </w:rPr>
        <w:t>7900-8400 MHz</w:t>
      </w:r>
      <w:r w:rsidR="00FF391F">
        <w:rPr>
          <w:b/>
          <w:i/>
          <w:lang w:val="en-US"/>
        </w:rPr>
        <w:t>]</w:t>
      </w:r>
      <w:r w:rsidR="0083285A">
        <w:rPr>
          <w:b/>
          <w:i/>
          <w:lang w:val="en-US"/>
        </w:rPr>
        <w:t xml:space="preserve"> have been opposed by many administrations and regional groups. </w:t>
      </w:r>
    </w:p>
    <w:p w14:paraId="6554D1EE" w14:textId="4442C234" w:rsidR="002D36A8" w:rsidRDefault="002D36A8" w:rsidP="00EE6F07">
      <w:pPr>
        <w:jc w:val="both"/>
        <w:rPr>
          <w:b/>
          <w:i/>
          <w:lang w:val="en-US"/>
        </w:rPr>
      </w:pPr>
      <w:r w:rsidRPr="00765304">
        <w:rPr>
          <w:b/>
          <w:i/>
          <w:lang w:val="en-US"/>
        </w:rPr>
        <w:t xml:space="preserve">Observation </w:t>
      </w:r>
      <w:r>
        <w:rPr>
          <w:b/>
          <w:i/>
          <w:lang w:val="en-US"/>
        </w:rPr>
        <w:t>2</w:t>
      </w:r>
      <w:r w:rsidRPr="00765304">
        <w:rPr>
          <w:b/>
          <w:i/>
          <w:lang w:val="en-US"/>
        </w:rPr>
        <w:t>:</w:t>
      </w:r>
      <w:r>
        <w:rPr>
          <w:b/>
          <w:i/>
          <w:lang w:val="en-US"/>
        </w:rPr>
        <w:t xml:space="preserve"> Submitted studies conclude that frequency sharing between these strategic space assets and IMT systems will not be possible, while there will be continued need to operate existing strategic space systems in the frequency range </w:t>
      </w:r>
      <w:r w:rsidR="00FF391F">
        <w:rPr>
          <w:b/>
          <w:i/>
          <w:lang w:val="en-US"/>
        </w:rPr>
        <w:t>[</w:t>
      </w:r>
      <w:r>
        <w:rPr>
          <w:b/>
          <w:i/>
          <w:lang w:val="en-US"/>
        </w:rPr>
        <w:t>7250-7750 MHz</w:t>
      </w:r>
      <w:r w:rsidR="00FF391F">
        <w:rPr>
          <w:b/>
          <w:i/>
          <w:lang w:val="en-US"/>
        </w:rPr>
        <w:t>]</w:t>
      </w:r>
      <w:r>
        <w:rPr>
          <w:b/>
          <w:i/>
          <w:lang w:val="en-US"/>
        </w:rPr>
        <w:t xml:space="preserve"> and </w:t>
      </w:r>
      <w:r w:rsidR="00FF391F">
        <w:rPr>
          <w:b/>
          <w:i/>
          <w:lang w:val="en-US"/>
        </w:rPr>
        <w:t>[</w:t>
      </w:r>
      <w:r>
        <w:rPr>
          <w:b/>
          <w:i/>
          <w:lang w:val="en-US"/>
        </w:rPr>
        <w:t>7900-8400 MHz</w:t>
      </w:r>
      <w:r w:rsidR="00FF391F">
        <w:rPr>
          <w:b/>
          <w:i/>
          <w:lang w:val="en-US"/>
        </w:rPr>
        <w:t>]</w:t>
      </w:r>
      <w:r>
        <w:rPr>
          <w:b/>
          <w:i/>
          <w:lang w:val="en-US"/>
        </w:rPr>
        <w:t>.</w:t>
      </w:r>
    </w:p>
    <w:p w14:paraId="4E6B8018" w14:textId="60EF008F" w:rsidR="00E75622" w:rsidRDefault="00E75622" w:rsidP="00E75622">
      <w:pPr>
        <w:jc w:val="both"/>
        <w:rPr>
          <w:b/>
          <w:lang w:val="en-US"/>
        </w:rPr>
      </w:pPr>
      <w:r w:rsidRPr="00773575">
        <w:rPr>
          <w:b/>
          <w:bCs/>
          <w:lang w:val="en-US"/>
        </w:rPr>
        <w:t>Observation 3: 3GPP RAN has already provided preliminary parameters to ITU for the Agenda Item 1.7 WRC 27 study.</w:t>
      </w:r>
      <w:r w:rsidRPr="00E75622">
        <w:rPr>
          <w:b/>
          <w:lang w:val="en-US"/>
        </w:rPr>
        <w:t xml:space="preserve"> </w:t>
      </w:r>
    </w:p>
    <w:p w14:paraId="1EF685B1" w14:textId="343EB942" w:rsidR="00E75622" w:rsidRDefault="00E75622" w:rsidP="00E75622">
      <w:pPr>
        <w:jc w:val="both"/>
        <w:rPr>
          <w:b/>
          <w:lang w:val="en-US"/>
        </w:rPr>
      </w:pPr>
      <w:r w:rsidRPr="00314860">
        <w:rPr>
          <w:b/>
          <w:lang w:val="en-US"/>
        </w:rPr>
        <w:t xml:space="preserve">Proposal </w:t>
      </w:r>
      <w:r>
        <w:rPr>
          <w:b/>
          <w:lang w:val="en-US"/>
        </w:rPr>
        <w:t>1</w:t>
      </w:r>
      <w:r w:rsidRPr="00314860">
        <w:rPr>
          <w:b/>
          <w:lang w:val="en-US"/>
        </w:rPr>
        <w:t xml:space="preserve">: </w:t>
      </w:r>
      <w:r>
        <w:rPr>
          <w:b/>
          <w:lang w:val="en-US"/>
        </w:rPr>
        <w:t>RAN shall postpone any 6G study and normative work</w:t>
      </w:r>
      <w:r w:rsidR="00BD7561" w:rsidRPr="00BD7561">
        <w:rPr>
          <w:b/>
          <w:lang w:val="en-US"/>
        </w:rPr>
        <w:t>, with regard to IMT identification,</w:t>
      </w:r>
      <w:r>
        <w:rPr>
          <w:b/>
          <w:lang w:val="en-US"/>
        </w:rPr>
        <w:t xml:space="preserve"> on the </w:t>
      </w:r>
      <w:r w:rsidRPr="00280E6F">
        <w:rPr>
          <w:b/>
          <w:lang w:val="en-US"/>
        </w:rPr>
        <w:t>frequency range [7250 - 7750</w:t>
      </w:r>
      <w:r w:rsidRPr="00C438ED">
        <w:rPr>
          <w:b/>
          <w:lang w:val="en-US"/>
        </w:rPr>
        <w:t xml:space="preserve"> MHz</w:t>
      </w:r>
      <w:r>
        <w:rPr>
          <w:b/>
          <w:lang w:val="en-US"/>
        </w:rPr>
        <w:t>]</w:t>
      </w:r>
      <w:r w:rsidRPr="00C438ED">
        <w:rPr>
          <w:b/>
          <w:lang w:val="en-US"/>
        </w:rPr>
        <w:t xml:space="preserve"> </w:t>
      </w:r>
      <w:r>
        <w:rPr>
          <w:b/>
          <w:lang w:val="en-US"/>
        </w:rPr>
        <w:t>and</w:t>
      </w:r>
      <w:r w:rsidRPr="00C438ED">
        <w:rPr>
          <w:b/>
          <w:lang w:val="en-US"/>
        </w:rPr>
        <w:t xml:space="preserve"> </w:t>
      </w:r>
      <w:r>
        <w:rPr>
          <w:b/>
          <w:lang w:val="en-US"/>
        </w:rPr>
        <w:t>[</w:t>
      </w:r>
      <w:r w:rsidRPr="00C438ED">
        <w:rPr>
          <w:b/>
          <w:lang w:val="en-US"/>
        </w:rPr>
        <w:t>7900</w:t>
      </w:r>
      <w:r>
        <w:rPr>
          <w:b/>
          <w:lang w:val="en-US"/>
        </w:rPr>
        <w:t xml:space="preserve"> </w:t>
      </w:r>
      <w:r w:rsidRPr="00C438ED">
        <w:rPr>
          <w:b/>
          <w:lang w:val="en-US"/>
        </w:rPr>
        <w:t>-</w:t>
      </w:r>
      <w:r>
        <w:rPr>
          <w:b/>
          <w:lang w:val="en-US"/>
        </w:rPr>
        <w:t xml:space="preserve"> </w:t>
      </w:r>
      <w:r w:rsidRPr="00C438ED">
        <w:rPr>
          <w:b/>
          <w:lang w:val="en-US"/>
        </w:rPr>
        <w:t>8400 MHz</w:t>
      </w:r>
      <w:r>
        <w:rPr>
          <w:b/>
          <w:lang w:val="en-US"/>
        </w:rPr>
        <w:t>], at least until WRC27 final decision.</w:t>
      </w:r>
    </w:p>
    <w:p w14:paraId="45E4B097" w14:textId="72738AC6" w:rsidR="00E75622" w:rsidRPr="00773575" w:rsidRDefault="00E75622" w:rsidP="00E75622">
      <w:pPr>
        <w:jc w:val="both"/>
        <w:rPr>
          <w:b/>
          <w:bCs/>
          <w:lang w:val="en-US"/>
        </w:rPr>
      </w:pPr>
      <w:r w:rsidRPr="00773575">
        <w:rPr>
          <w:b/>
          <w:bCs/>
          <w:lang w:val="en-US"/>
        </w:rPr>
        <w:t>Proposal 2: Subject to WRC27 decision, RAN shall ensure consistency between the parameters provided by 3GPP to ITU and future work carried out in 3GPP in the frequency range [7250-7750 MHz] and [7900-8400 MHz].</w:t>
      </w:r>
    </w:p>
    <w:p w14:paraId="4DBC2503" w14:textId="77777777" w:rsidR="00E75622" w:rsidRDefault="00E75622" w:rsidP="00EE6F07">
      <w:pPr>
        <w:jc w:val="both"/>
        <w:rPr>
          <w:b/>
          <w:lang w:val="en-US"/>
        </w:rPr>
      </w:pPr>
    </w:p>
    <w:p w14:paraId="564E4977" w14:textId="0861685B" w:rsidR="00314860" w:rsidRDefault="00314860" w:rsidP="00EE6F07">
      <w:pPr>
        <w:jc w:val="both"/>
        <w:rPr>
          <w:b/>
          <w:lang w:val="en-US"/>
        </w:rPr>
      </w:pPr>
    </w:p>
    <w:p w14:paraId="06CC58F1" w14:textId="12AFE516" w:rsidR="00B86EB0" w:rsidRDefault="00B86EB0" w:rsidP="00B86EB0">
      <w:pPr>
        <w:pStyle w:val="Titre1"/>
        <w:pageBreakBefore w:val="0"/>
        <w:ind w:left="431" w:hanging="431"/>
      </w:pPr>
      <w:proofErr w:type="spellStart"/>
      <w:r>
        <w:t>References</w:t>
      </w:r>
      <w:proofErr w:type="spellEnd"/>
    </w:p>
    <w:p w14:paraId="53E73F14" w14:textId="32C768FC" w:rsidR="00EE2F23" w:rsidRPr="00EE2F23" w:rsidRDefault="002202A2" w:rsidP="00EE2F23">
      <w:pPr>
        <w:rPr>
          <w:lang w:val="en-US"/>
        </w:rPr>
      </w:pPr>
      <w:r w:rsidRPr="00280E6F">
        <w:rPr>
          <w:lang w:val="en-US"/>
        </w:rPr>
        <w:t>[1]</w:t>
      </w:r>
      <w:r w:rsidRPr="00280E6F">
        <w:rPr>
          <w:lang w:val="en-US"/>
        </w:rPr>
        <w:tab/>
      </w:r>
      <w:r w:rsidR="00EE2F23">
        <w:rPr>
          <w:lang w:val="en-US"/>
        </w:rPr>
        <w:t xml:space="preserve">3GPP </w:t>
      </w:r>
      <w:r w:rsidR="00EE2F23" w:rsidRPr="00EE2F23">
        <w:rPr>
          <w:lang w:val="en-US"/>
        </w:rPr>
        <w:t xml:space="preserve">RP-250810 </w:t>
      </w:r>
      <w:r w:rsidR="00EE2F23">
        <w:rPr>
          <w:lang w:val="en-US"/>
        </w:rPr>
        <w:t>“</w:t>
      </w:r>
      <w:r w:rsidR="00EE2F23" w:rsidRPr="00EE2F23">
        <w:rPr>
          <w:lang w:val="en-US"/>
        </w:rPr>
        <w:t>Revised SID: Study on 6G Scenarios and requirements</w:t>
      </w:r>
      <w:r w:rsidR="00EE2F23">
        <w:rPr>
          <w:lang w:val="en-US"/>
        </w:rPr>
        <w:t>”, S</w:t>
      </w:r>
      <w:r w:rsidR="00EE2F23" w:rsidRPr="00EE2F23">
        <w:rPr>
          <w:lang w:val="en-US"/>
        </w:rPr>
        <w:t>ource:</w:t>
      </w:r>
      <w:r w:rsidR="00EE2F23" w:rsidRPr="00EE2F23">
        <w:rPr>
          <w:lang w:val="en-US"/>
        </w:rPr>
        <w:tab/>
        <w:t xml:space="preserve">CMCC, Verizon, NTT DOCOMO, INC., Deutsche Telekom </w:t>
      </w:r>
    </w:p>
    <w:p w14:paraId="1BED146C" w14:textId="35DE5FE6" w:rsidR="00B86EB0" w:rsidRDefault="00B86EB0" w:rsidP="00314860">
      <w:pPr>
        <w:rPr>
          <w:lang w:val="en-US"/>
        </w:rPr>
      </w:pPr>
      <w:r w:rsidRPr="00280E6F">
        <w:rPr>
          <w:lang w:val="en-US"/>
        </w:rPr>
        <w:t>[</w:t>
      </w:r>
      <w:r w:rsidR="002202A2" w:rsidRPr="00280E6F">
        <w:rPr>
          <w:lang w:val="en-US"/>
        </w:rPr>
        <w:t>2</w:t>
      </w:r>
      <w:r w:rsidRPr="00280E6F">
        <w:rPr>
          <w:lang w:val="en-US"/>
        </w:rPr>
        <w:t>]</w:t>
      </w:r>
      <w:r w:rsidRPr="00280E6F">
        <w:rPr>
          <w:lang w:val="en-US"/>
        </w:rPr>
        <w:tab/>
      </w:r>
      <w:r w:rsidR="002202A2" w:rsidRPr="00280E6F">
        <w:rPr>
          <w:lang w:val="en-US"/>
        </w:rPr>
        <w:t>Contribution 5D/548 to ITU-R WP5D</w:t>
      </w:r>
      <w:r w:rsidR="003F0C38" w:rsidRPr="00280E6F">
        <w:rPr>
          <w:lang w:val="en-US"/>
        </w:rPr>
        <w:t xml:space="preserve"> “Sharing studies between FSS, MSS and MMSS (Earth-to-space),</w:t>
      </w:r>
      <w:r w:rsidR="00280E6F">
        <w:rPr>
          <w:lang w:val="en-US"/>
        </w:rPr>
        <w:t xml:space="preserve"> </w:t>
      </w:r>
      <w:r w:rsidR="003F0C38" w:rsidRPr="00280E6F">
        <w:rPr>
          <w:lang w:val="en-US"/>
        </w:rPr>
        <w:t>and IMT systems in the frequency band 7 900-8 400 MHz under WRC-27 agenda item 1.7”</w:t>
      </w:r>
    </w:p>
    <w:p w14:paraId="0D5BD274" w14:textId="39EB5D17" w:rsidR="00AD61C8" w:rsidRPr="00C230BE" w:rsidRDefault="00AD61C8" w:rsidP="00314860">
      <w:pPr>
        <w:rPr>
          <w:lang w:val="en-GB"/>
        </w:rPr>
      </w:pPr>
      <w:r w:rsidRPr="00C230BE">
        <w:rPr>
          <w:lang w:val="en-GB"/>
        </w:rPr>
        <w:t>[3]</w:t>
      </w:r>
      <w:r w:rsidRPr="00C230BE">
        <w:rPr>
          <w:lang w:val="en-GB"/>
        </w:rPr>
        <w:tab/>
        <w:t xml:space="preserve">3GPP R4-2414449 / ITU Document 5D/269-E </w:t>
      </w:r>
      <w:r>
        <w:rPr>
          <w:lang w:val="en-US"/>
        </w:rPr>
        <w:t>“</w:t>
      </w:r>
      <w:r w:rsidRPr="00C230BE">
        <w:rPr>
          <w:lang w:val="en-GB"/>
        </w:rPr>
        <w:t>LS Reply on Parameters for 7125 to 8400 MHz of terrestrial component of IMT for sharing and compatibility studies in preparation for WRC-27” </w:t>
      </w:r>
    </w:p>
    <w:p w14:paraId="4BAD7887" w14:textId="77777777" w:rsidR="007D4DA3" w:rsidRPr="00C230BE" w:rsidRDefault="007D4DA3" w:rsidP="007D4DA3">
      <w:pPr>
        <w:jc w:val="center"/>
        <w:rPr>
          <w:b/>
          <w:i/>
        </w:rPr>
      </w:pPr>
      <w:r w:rsidRPr="00C230BE">
        <w:rPr>
          <w:b/>
          <w:i/>
        </w:rPr>
        <w:t>END</w:t>
      </w:r>
    </w:p>
    <w:sectPr w:rsidR="007D4DA3" w:rsidRPr="00C230B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7C6C5" w14:textId="77777777" w:rsidR="006C098F" w:rsidRDefault="006C098F" w:rsidP="005C7A9D">
      <w:pPr>
        <w:spacing w:after="0" w:line="240" w:lineRule="auto"/>
      </w:pPr>
      <w:r>
        <w:separator/>
      </w:r>
    </w:p>
  </w:endnote>
  <w:endnote w:type="continuationSeparator" w:id="0">
    <w:p w14:paraId="204A0867" w14:textId="77777777" w:rsidR="006C098F" w:rsidRDefault="006C098F"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E9A61" w14:textId="77777777" w:rsidR="00E50251" w:rsidRDefault="00E50251">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E19E" w14:textId="7C2E8B96" w:rsidR="00E50251" w:rsidRDefault="00E50251" w:rsidP="00AD4902">
    <w:pPr>
      <w:pStyle w:val="Pieddepage"/>
    </w:pPr>
    <w:bookmarkStart w:id="13" w:name="TITUS1FooterPrimary"/>
    <w:r w:rsidRPr="00AD4902">
      <w:rPr>
        <w:color w:val="FFFFFF"/>
        <w:sz w:val="17"/>
      </w:rPr>
      <w:t>.</w:t>
    </w:r>
    <w:bookmarkEnd w:id="13"/>
  </w:p>
  <w:p w14:paraId="716CF364" w14:textId="358BFC05" w:rsidR="00F73526" w:rsidRDefault="006C098F">
    <w:pPr>
      <w:pStyle w:val="Pieddepage"/>
      <w:jc w:val="right"/>
    </w:pPr>
    <w:sdt>
      <w:sdtPr>
        <w:id w:val="1029462003"/>
        <w:docPartObj>
          <w:docPartGallery w:val="Page Numbers (Bottom of Page)"/>
          <w:docPartUnique/>
        </w:docPartObj>
      </w:sdtPr>
      <w:sdtEndPr/>
      <w:sdtContent>
        <w:r w:rsidR="00F73526">
          <w:fldChar w:fldCharType="begin"/>
        </w:r>
        <w:r w:rsidR="00F73526">
          <w:instrText>PAGE   \* MERGEFORMAT</w:instrText>
        </w:r>
        <w:r w:rsidR="00F73526">
          <w:fldChar w:fldCharType="separate"/>
        </w:r>
        <w:r w:rsidR="008B27E7">
          <w:rPr>
            <w:noProof/>
          </w:rPr>
          <w:t>3</w:t>
        </w:r>
        <w:r w:rsidR="00F73526">
          <w:fldChar w:fldCharType="end"/>
        </w:r>
      </w:sdtContent>
    </w:sdt>
  </w:p>
  <w:p w14:paraId="7BC23657" w14:textId="77777777" w:rsidR="00F73526" w:rsidRDefault="00F73526">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EB257" w14:textId="77777777" w:rsidR="00E50251" w:rsidRDefault="00E50251">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60750" w14:textId="77777777" w:rsidR="006C098F" w:rsidRDefault="006C098F" w:rsidP="005C7A9D">
      <w:pPr>
        <w:spacing w:after="0" w:line="240" w:lineRule="auto"/>
      </w:pPr>
      <w:r>
        <w:separator/>
      </w:r>
    </w:p>
  </w:footnote>
  <w:footnote w:type="continuationSeparator" w:id="0">
    <w:p w14:paraId="38C2E7BC" w14:textId="77777777" w:rsidR="006C098F" w:rsidRDefault="006C098F" w:rsidP="005C7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3A48D" w14:textId="77777777" w:rsidR="00E50251" w:rsidRDefault="00E50251">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D1E12" w14:textId="7FFCA364" w:rsidR="00E50251" w:rsidRDefault="00E50251" w:rsidP="00E50251">
    <w:pPr>
      <w:pStyle w:val="En-tte"/>
    </w:pPr>
    <w:bookmarkStart w:id="12" w:name="TITUS1HeaderPrimary"/>
    <w:r w:rsidRPr="00AD4902">
      <w:rPr>
        <w:color w:val="FFFFFF"/>
        <w:sz w:val="17"/>
      </w:rPr>
      <w:t>.</w:t>
    </w:r>
    <w:bookmarkEnd w:id="12"/>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53DD7" w14:textId="77777777" w:rsidR="00E50251" w:rsidRDefault="00E50251">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F501257"/>
    <w:multiLevelType w:val="multilevel"/>
    <w:tmpl w:val="C93A5212"/>
    <w:lvl w:ilvl="0">
      <w:start w:val="1"/>
      <w:numFmt w:val="decimal"/>
      <w:pStyle w:val="Titre1"/>
      <w:lvlText w:val="%1"/>
      <w:lvlJc w:val="left"/>
      <w:pPr>
        <w:ind w:left="432" w:hanging="432"/>
      </w:pPr>
      <w:rPr>
        <w:lang w:val="en-US"/>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4BBA763D"/>
    <w:multiLevelType w:val="hybridMultilevel"/>
    <w:tmpl w:val="21CE39BC"/>
    <w:lvl w:ilvl="0" w:tplc="59B848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489"/>
    <w:rsid w:val="00001636"/>
    <w:rsid w:val="00005359"/>
    <w:rsid w:val="000066E4"/>
    <w:rsid w:val="000420CE"/>
    <w:rsid w:val="00043675"/>
    <w:rsid w:val="00044A7F"/>
    <w:rsid w:val="00050A63"/>
    <w:rsid w:val="0005360C"/>
    <w:rsid w:val="0005684A"/>
    <w:rsid w:val="000962C8"/>
    <w:rsid w:val="000A3236"/>
    <w:rsid w:val="000F46DC"/>
    <w:rsid w:val="0010583B"/>
    <w:rsid w:val="00127C30"/>
    <w:rsid w:val="00130EBA"/>
    <w:rsid w:val="00144A08"/>
    <w:rsid w:val="00170C04"/>
    <w:rsid w:val="001729D7"/>
    <w:rsid w:val="001741B4"/>
    <w:rsid w:val="001A0423"/>
    <w:rsid w:val="001A5AF8"/>
    <w:rsid w:val="001A7198"/>
    <w:rsid w:val="001D236C"/>
    <w:rsid w:val="001E30FB"/>
    <w:rsid w:val="00203EA4"/>
    <w:rsid w:val="00204808"/>
    <w:rsid w:val="002202A2"/>
    <w:rsid w:val="00220B94"/>
    <w:rsid w:val="002417FF"/>
    <w:rsid w:val="002430FB"/>
    <w:rsid w:val="00246B86"/>
    <w:rsid w:val="002526F8"/>
    <w:rsid w:val="0025747D"/>
    <w:rsid w:val="0026642F"/>
    <w:rsid w:val="00280E6F"/>
    <w:rsid w:val="002850D2"/>
    <w:rsid w:val="00286375"/>
    <w:rsid w:val="00295EB9"/>
    <w:rsid w:val="002A1491"/>
    <w:rsid w:val="002C3370"/>
    <w:rsid w:val="002D36A8"/>
    <w:rsid w:val="002E0E90"/>
    <w:rsid w:val="002E124A"/>
    <w:rsid w:val="00314860"/>
    <w:rsid w:val="0031720A"/>
    <w:rsid w:val="003409B9"/>
    <w:rsid w:val="003458DE"/>
    <w:rsid w:val="00360D49"/>
    <w:rsid w:val="00372795"/>
    <w:rsid w:val="003D5E9B"/>
    <w:rsid w:val="003E3176"/>
    <w:rsid w:val="003E69CE"/>
    <w:rsid w:val="003E6A19"/>
    <w:rsid w:val="003F0C38"/>
    <w:rsid w:val="003F3B9A"/>
    <w:rsid w:val="00430BAC"/>
    <w:rsid w:val="004677A2"/>
    <w:rsid w:val="00481023"/>
    <w:rsid w:val="0048789A"/>
    <w:rsid w:val="00493682"/>
    <w:rsid w:val="004B0240"/>
    <w:rsid w:val="004B26DE"/>
    <w:rsid w:val="004C1720"/>
    <w:rsid w:val="004D2F92"/>
    <w:rsid w:val="004D3FEE"/>
    <w:rsid w:val="004D4BC4"/>
    <w:rsid w:val="004D4E6E"/>
    <w:rsid w:val="004E5852"/>
    <w:rsid w:val="004E5ADE"/>
    <w:rsid w:val="004E6C26"/>
    <w:rsid w:val="004E6D6D"/>
    <w:rsid w:val="004F29F5"/>
    <w:rsid w:val="004F3C5D"/>
    <w:rsid w:val="00540977"/>
    <w:rsid w:val="00541172"/>
    <w:rsid w:val="00552300"/>
    <w:rsid w:val="00565CBA"/>
    <w:rsid w:val="00571F02"/>
    <w:rsid w:val="005A3636"/>
    <w:rsid w:val="005B209B"/>
    <w:rsid w:val="005B43ED"/>
    <w:rsid w:val="005C7A9D"/>
    <w:rsid w:val="005D5F0A"/>
    <w:rsid w:val="005E01D9"/>
    <w:rsid w:val="005E6B8C"/>
    <w:rsid w:val="006261E2"/>
    <w:rsid w:val="006305E1"/>
    <w:rsid w:val="006310B1"/>
    <w:rsid w:val="00670499"/>
    <w:rsid w:val="006734D8"/>
    <w:rsid w:val="0068003B"/>
    <w:rsid w:val="00687E97"/>
    <w:rsid w:val="006A02A0"/>
    <w:rsid w:val="006A771D"/>
    <w:rsid w:val="006B4E4C"/>
    <w:rsid w:val="006C098F"/>
    <w:rsid w:val="006D4269"/>
    <w:rsid w:val="006E6ED4"/>
    <w:rsid w:val="006F1864"/>
    <w:rsid w:val="007163E0"/>
    <w:rsid w:val="00722C56"/>
    <w:rsid w:val="00727443"/>
    <w:rsid w:val="00742D97"/>
    <w:rsid w:val="0076445F"/>
    <w:rsid w:val="00765304"/>
    <w:rsid w:val="00767E88"/>
    <w:rsid w:val="00791FCE"/>
    <w:rsid w:val="00797540"/>
    <w:rsid w:val="007A30BC"/>
    <w:rsid w:val="007B6DA5"/>
    <w:rsid w:val="007D05B3"/>
    <w:rsid w:val="007D4DA3"/>
    <w:rsid w:val="00801099"/>
    <w:rsid w:val="00816772"/>
    <w:rsid w:val="008206C5"/>
    <w:rsid w:val="0082588F"/>
    <w:rsid w:val="00831307"/>
    <w:rsid w:val="0083285A"/>
    <w:rsid w:val="00843156"/>
    <w:rsid w:val="00844906"/>
    <w:rsid w:val="00865B6A"/>
    <w:rsid w:val="00877EA5"/>
    <w:rsid w:val="008B27E7"/>
    <w:rsid w:val="008C1AC8"/>
    <w:rsid w:val="008E1488"/>
    <w:rsid w:val="008F35BC"/>
    <w:rsid w:val="008F47BC"/>
    <w:rsid w:val="009069A8"/>
    <w:rsid w:val="009104B1"/>
    <w:rsid w:val="00915E1E"/>
    <w:rsid w:val="00924CDC"/>
    <w:rsid w:val="00942EDF"/>
    <w:rsid w:val="00952AA3"/>
    <w:rsid w:val="00954409"/>
    <w:rsid w:val="0097189B"/>
    <w:rsid w:val="00972996"/>
    <w:rsid w:val="0098464D"/>
    <w:rsid w:val="009A4B34"/>
    <w:rsid w:val="009B1CCE"/>
    <w:rsid w:val="009B7787"/>
    <w:rsid w:val="00A4656C"/>
    <w:rsid w:val="00A6541A"/>
    <w:rsid w:val="00A748CC"/>
    <w:rsid w:val="00AB0F00"/>
    <w:rsid w:val="00AD1504"/>
    <w:rsid w:val="00AD4902"/>
    <w:rsid w:val="00AD530E"/>
    <w:rsid w:val="00AD61C8"/>
    <w:rsid w:val="00AE0EFE"/>
    <w:rsid w:val="00AF3FB1"/>
    <w:rsid w:val="00B02328"/>
    <w:rsid w:val="00B13BC2"/>
    <w:rsid w:val="00B16947"/>
    <w:rsid w:val="00B230E9"/>
    <w:rsid w:val="00B253F0"/>
    <w:rsid w:val="00B31A2B"/>
    <w:rsid w:val="00B45768"/>
    <w:rsid w:val="00B67E61"/>
    <w:rsid w:val="00B747FB"/>
    <w:rsid w:val="00B86EB0"/>
    <w:rsid w:val="00BA40DE"/>
    <w:rsid w:val="00BD3653"/>
    <w:rsid w:val="00BD4B65"/>
    <w:rsid w:val="00BD7561"/>
    <w:rsid w:val="00BF7F8C"/>
    <w:rsid w:val="00C1056B"/>
    <w:rsid w:val="00C230BE"/>
    <w:rsid w:val="00C318B4"/>
    <w:rsid w:val="00C438ED"/>
    <w:rsid w:val="00C46DCB"/>
    <w:rsid w:val="00C56FA1"/>
    <w:rsid w:val="00C57A13"/>
    <w:rsid w:val="00C71006"/>
    <w:rsid w:val="00C77960"/>
    <w:rsid w:val="00CA3EAA"/>
    <w:rsid w:val="00CB4922"/>
    <w:rsid w:val="00CB655B"/>
    <w:rsid w:val="00CD514B"/>
    <w:rsid w:val="00CF031B"/>
    <w:rsid w:val="00D0489B"/>
    <w:rsid w:val="00D1204B"/>
    <w:rsid w:val="00D13AA1"/>
    <w:rsid w:val="00D43FAB"/>
    <w:rsid w:val="00D54D6A"/>
    <w:rsid w:val="00D62276"/>
    <w:rsid w:val="00D62D9C"/>
    <w:rsid w:val="00D721CA"/>
    <w:rsid w:val="00D76DB6"/>
    <w:rsid w:val="00DB1A78"/>
    <w:rsid w:val="00DB2972"/>
    <w:rsid w:val="00DE54CF"/>
    <w:rsid w:val="00DE55D7"/>
    <w:rsid w:val="00DF7088"/>
    <w:rsid w:val="00E00582"/>
    <w:rsid w:val="00E05AF4"/>
    <w:rsid w:val="00E12275"/>
    <w:rsid w:val="00E276D9"/>
    <w:rsid w:val="00E27923"/>
    <w:rsid w:val="00E31A38"/>
    <w:rsid w:val="00E34EC2"/>
    <w:rsid w:val="00E366CF"/>
    <w:rsid w:val="00E50251"/>
    <w:rsid w:val="00E75622"/>
    <w:rsid w:val="00E96D2D"/>
    <w:rsid w:val="00EA0628"/>
    <w:rsid w:val="00EB5D9C"/>
    <w:rsid w:val="00EE2F23"/>
    <w:rsid w:val="00EE6F07"/>
    <w:rsid w:val="00F03EB7"/>
    <w:rsid w:val="00F235F5"/>
    <w:rsid w:val="00F565AE"/>
    <w:rsid w:val="00F72546"/>
    <w:rsid w:val="00F73526"/>
    <w:rsid w:val="00F80063"/>
    <w:rsid w:val="00FB37F0"/>
    <w:rsid w:val="00FB5BC3"/>
    <w:rsid w:val="00FC16FC"/>
    <w:rsid w:val="00FF391F"/>
    <w:rsid w:val="00FF4C0C"/>
    <w:rsid w:val="00FF57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2"/>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2"/>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6E6ED4"/>
    <w:pPr>
      <w:keepNext/>
      <w:keepLines/>
      <w:numPr>
        <w:ilvl w:val="2"/>
        <w:numId w:val="2"/>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2"/>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2"/>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2"/>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2"/>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2"/>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2"/>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6E6ED4"/>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semiHidden/>
    <w:unhideWhenUsed/>
    <w:rsid w:val="00001636"/>
    <w:pPr>
      <w:spacing w:line="240" w:lineRule="auto"/>
    </w:pPr>
    <w:rPr>
      <w:sz w:val="20"/>
      <w:szCs w:val="20"/>
    </w:rPr>
  </w:style>
  <w:style w:type="character" w:customStyle="1" w:styleId="CommentaireCar">
    <w:name w:val="Commentaire Car"/>
    <w:basedOn w:val="Policepardfaut"/>
    <w:link w:val="Commentaire"/>
    <w:uiPriority w:val="99"/>
    <w:semiHidden/>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styleId="Rvision">
    <w:name w:val="Revision"/>
    <w:hidden/>
    <w:uiPriority w:val="99"/>
    <w:semiHidden/>
    <w:rsid w:val="004D4E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128475">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769</Words>
  <Characters>4233</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Grotz</dc:creator>
  <cp:keywords/>
  <dc:description/>
  <cp:lastModifiedBy>Thales</cp:lastModifiedBy>
  <cp:revision>4</cp:revision>
  <dcterms:created xsi:type="dcterms:W3CDTF">2025-06-02T16:25:00Z</dcterms:created>
  <dcterms:modified xsi:type="dcterms:W3CDTF">2025-06-02T16:26:00Z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1583c128-e67c-47ee-a2e4-6603045d482a</vt:lpwstr>
  </property>
  <property fmtid="{D5CDD505-2E9C-101B-9397-08002B2CF9AE}" pid="3" name="TaggedBy">
    <vt:lpwstr>poxa100</vt:lpwstr>
  </property>
  <property fmtid="{D5CDD505-2E9C-101B-9397-08002B2CF9AE}" pid="4" name="L">
    <vt:lpwstr>XXPUB</vt:lpwstr>
  </property>
  <property fmtid="{D5CDD505-2E9C-101B-9397-08002B2CF9AE}" pid="5" name="STAMP">
    <vt:lpwstr>NO</vt:lpwstr>
  </property>
</Properties>
</file>